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0E" w:rsidRDefault="003F340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F340E" w:rsidRDefault="003F340E">
      <w:pPr>
        <w:pStyle w:val="ConsPlusNormal"/>
        <w:jc w:val="both"/>
        <w:outlineLvl w:val="0"/>
      </w:pPr>
    </w:p>
    <w:p w:rsidR="003F340E" w:rsidRDefault="003F340E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3F340E" w:rsidRDefault="003F340E">
      <w:pPr>
        <w:pStyle w:val="ConsPlusTitle"/>
        <w:jc w:val="both"/>
      </w:pPr>
    </w:p>
    <w:p w:rsidR="003F340E" w:rsidRDefault="003F340E">
      <w:pPr>
        <w:pStyle w:val="ConsPlusTitle"/>
        <w:jc w:val="center"/>
      </w:pPr>
      <w:r>
        <w:t>ПОСТАНОВЛЕНИЕ</w:t>
      </w:r>
    </w:p>
    <w:p w:rsidR="003F340E" w:rsidRDefault="003F340E">
      <w:pPr>
        <w:pStyle w:val="ConsPlusTitle"/>
        <w:jc w:val="center"/>
      </w:pPr>
      <w:r>
        <w:t>от 22 апреля 2019 г. N 325</w:t>
      </w:r>
    </w:p>
    <w:p w:rsidR="003F340E" w:rsidRDefault="003F340E">
      <w:pPr>
        <w:pStyle w:val="ConsPlusTitle"/>
        <w:jc w:val="both"/>
      </w:pPr>
    </w:p>
    <w:p w:rsidR="003F340E" w:rsidRDefault="003F340E">
      <w:pPr>
        <w:pStyle w:val="ConsPlusTitle"/>
        <w:jc w:val="center"/>
      </w:pPr>
      <w:r>
        <w:t>О ПРОВЕДЕНИИ РЕСПУБЛИКАНСКОГО КОНКУРСА "ИНЖЕНЕР ГОДА"</w:t>
      </w:r>
    </w:p>
    <w:p w:rsidR="003F340E" w:rsidRDefault="003F34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F34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03.08.2019 </w:t>
            </w:r>
            <w:hyperlink r:id="rId5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16.04.2021 </w:t>
            </w:r>
            <w:hyperlink r:id="rId6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>,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13.08.2021 </w:t>
            </w:r>
            <w:hyperlink r:id="rId7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26.07.2022 </w:t>
            </w:r>
            <w:hyperlink r:id="rId8">
              <w:r>
                <w:rPr>
                  <w:color w:val="0000FF"/>
                </w:rPr>
                <w:t>N 719</w:t>
              </w:r>
            </w:hyperlink>
            <w:r>
              <w:rPr>
                <w:color w:val="392C69"/>
              </w:rPr>
              <w:t xml:space="preserve">, от 20.04.2023 </w:t>
            </w:r>
            <w:hyperlink r:id="rId9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>,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05.10.2023 </w:t>
            </w:r>
            <w:hyperlink r:id="rId10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04.07.2024 </w:t>
            </w:r>
            <w:hyperlink r:id="rId11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02.07.2025 </w:t>
            </w:r>
            <w:hyperlink r:id="rId12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,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23.01.2026 </w:t>
            </w:r>
            <w:hyperlink r:id="rId13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</w:tr>
    </w:tbl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r>
        <w:t>В целях обеспечения общественного признания, поощрения и распространения положительного опыта лучших инженеров организаций в Республике Татарстан Кабинет Министров Республики Татарстан постановляет: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r>
        <w:t>1. Принять предложение Министерства промышленности и торговли Республики Татарстан о проведении республиканского конкурса "Инженер года".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3F340E" w:rsidRDefault="003F340E">
      <w:pPr>
        <w:pStyle w:val="ConsPlusNormal"/>
        <w:spacing w:before="220"/>
        <w:ind w:firstLine="540"/>
        <w:jc w:val="both"/>
      </w:pPr>
      <w:hyperlink w:anchor="P39">
        <w:r>
          <w:rPr>
            <w:color w:val="0000FF"/>
          </w:rPr>
          <w:t>Положение</w:t>
        </w:r>
      </w:hyperlink>
      <w:r>
        <w:t xml:space="preserve"> о республиканском конкурсе "Инженер года";</w:t>
      </w:r>
    </w:p>
    <w:p w:rsidR="003F340E" w:rsidRDefault="003F340E">
      <w:pPr>
        <w:pStyle w:val="ConsPlusNormal"/>
        <w:spacing w:before="220"/>
        <w:ind w:firstLine="540"/>
        <w:jc w:val="both"/>
      </w:pPr>
      <w:hyperlink w:anchor="P160">
        <w:r>
          <w:rPr>
            <w:color w:val="0000FF"/>
          </w:rPr>
          <w:t>состав</w:t>
        </w:r>
      </w:hyperlink>
      <w:r>
        <w:t xml:space="preserve"> организационного комитета по подготовке и проведению республиканского конкурса "Инженер года".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3. Республиканскому агентству по печати и массовым коммуникациям "Татмедиа" обеспечить освещение хода подготовки и проведения республиканского конкурса "Инженер года" в средствах массовой информации.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 Руководителям республиканских органов исполнительной власти, а также предложить главам муниципальных районов и городских округов Республики Татарстан оказывать содействие в проведении республиканского конкурса "Инженер года" и привлечении к участию в нем широкого круга инженеров организаций в Республике Татарстан.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Министерство промышленности и торговли Республики Татарстан.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right"/>
      </w:pPr>
      <w:r>
        <w:t>Премьер-министр</w:t>
      </w:r>
    </w:p>
    <w:p w:rsidR="003F340E" w:rsidRDefault="003F340E">
      <w:pPr>
        <w:pStyle w:val="ConsPlusNormal"/>
        <w:jc w:val="right"/>
      </w:pPr>
      <w:r>
        <w:t>Республики Татарстан</w:t>
      </w:r>
    </w:p>
    <w:p w:rsidR="003F340E" w:rsidRDefault="003F340E">
      <w:pPr>
        <w:pStyle w:val="ConsPlusNormal"/>
        <w:jc w:val="right"/>
      </w:pPr>
      <w:r>
        <w:t>А.В.ПЕСОШИН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right"/>
        <w:outlineLvl w:val="0"/>
      </w:pPr>
      <w:r>
        <w:t>Утверждено</w:t>
      </w:r>
    </w:p>
    <w:p w:rsidR="003F340E" w:rsidRDefault="003F340E">
      <w:pPr>
        <w:pStyle w:val="ConsPlusNormal"/>
        <w:jc w:val="right"/>
      </w:pPr>
      <w:r>
        <w:t>постановлением</w:t>
      </w:r>
    </w:p>
    <w:p w:rsidR="003F340E" w:rsidRDefault="003F340E">
      <w:pPr>
        <w:pStyle w:val="ConsPlusNormal"/>
        <w:jc w:val="right"/>
      </w:pPr>
      <w:r>
        <w:lastRenderedPageBreak/>
        <w:t>Кабинета Министров</w:t>
      </w:r>
    </w:p>
    <w:p w:rsidR="003F340E" w:rsidRDefault="003F340E">
      <w:pPr>
        <w:pStyle w:val="ConsPlusNormal"/>
        <w:jc w:val="right"/>
      </w:pPr>
      <w:r>
        <w:t>Республики Татарстан</w:t>
      </w:r>
    </w:p>
    <w:p w:rsidR="003F340E" w:rsidRDefault="003F340E">
      <w:pPr>
        <w:pStyle w:val="ConsPlusNormal"/>
        <w:jc w:val="right"/>
      </w:pPr>
      <w:r>
        <w:t>от 22 апреля 2019 г. N 325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</w:pPr>
      <w:bookmarkStart w:id="0" w:name="P39"/>
      <w:bookmarkEnd w:id="0"/>
      <w:r>
        <w:t>ПОЛОЖЕНИЕ</w:t>
      </w:r>
    </w:p>
    <w:p w:rsidR="003F340E" w:rsidRDefault="003F340E">
      <w:pPr>
        <w:pStyle w:val="ConsPlusTitle"/>
        <w:jc w:val="center"/>
      </w:pPr>
      <w:r>
        <w:t>О РЕСПУБЛИКАНСКОМ КОНКУРСЕ "ИНЖЕНЕР ГОДА"</w:t>
      </w:r>
    </w:p>
    <w:p w:rsidR="003F340E" w:rsidRDefault="003F34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F34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05.10.2023 </w:t>
            </w:r>
            <w:hyperlink r:id="rId16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 xml:space="preserve">, от 04.07.2024 </w:t>
            </w:r>
            <w:hyperlink r:id="rId17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>,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02.07.2025 </w:t>
            </w:r>
            <w:hyperlink r:id="rId18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</w:tr>
    </w:tbl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  <w:outlineLvl w:val="1"/>
      </w:pPr>
      <w:r>
        <w:t>I. Общие положения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r>
        <w:t>1.1. Настоящее Положение определяет цель и порядок проведения республиканского конкурса "Инженер года" (далее - конкурс).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1.2. Конкурс проводится в целях: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выявления и поощрения представителей инженерных профессий, проявивших высокий уровень компетентности и достигших самостоятельно или в составе коллектива эффективных результатов в реализации инженерного проекта;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повышения привлекательности труда и профессионализма инженерных работников;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формирования эффективного кадрового потенциала инженерных профессий в Республике Татарстан;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пропаганды достижений лучших инженеров Республики Татарстан;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повышения интереса к инженерному труду в молодежной среде;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формирования банка данных лучших инженеров Республики Татарстан.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1.3. Конкурс проводится по результатам инженерной деятельности за предшествующий календарный год.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1.4. Конкурс проводится среди граждан Российской Федерации, проживающих на территории Республики Татарстан, работающих в коммерческих или некоммерческих организациях независимо от организационно-правовой формы или в образовательных организациях высшего образования, расположенных на территории Республики Татарстан (далее соответственно - предприятие, организация высшего образования), или обучающихся в организациях высшего образования.</w:t>
      </w:r>
    </w:p>
    <w:p w:rsidR="003F340E" w:rsidRDefault="003F340E">
      <w:pPr>
        <w:pStyle w:val="ConsPlusNormal"/>
        <w:spacing w:before="220"/>
        <w:ind w:firstLine="540"/>
        <w:jc w:val="both"/>
      </w:pPr>
      <w:bookmarkStart w:id="1" w:name="P58"/>
      <w:bookmarkEnd w:id="1"/>
      <w:r>
        <w:t>1.5. Конкурс проводится в трех категориях: "Будущие инженеры", "Молодость, успех, перспектива", "Опыт, достижения, компетентность".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В категории "Будущие инженеры" имеют право участвовать обучающиеся в организациях высшего образования по образовательным программам высшего образования - программам бакалавриата, программам специалитета, программам магистратуры.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В категории "Молодость, успех, перспектива" имеют право участвовать работники предприятий с высшим образованием, должностные обязанности которых связаны с инженерной деятельностью, либо работники, аспиранты организаций высшего образования, занимающиеся инженерной деятельностью, в возрасте до 35 лет включительно на дату подачи заявки на участие в конкурсе.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lastRenderedPageBreak/>
        <w:t>В категории "Опыт, достижения, компетентность" имеют право участвовать работники предприятий с высшим образованием, должностные обязанности которых связаны с инженерной деятельностью, в возрасте старше 35 лет.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1.6. Конкурс проводится по следующим 12 номинациям в каждой из трех категорий: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машиностроение (автомобилестроение, судостроение, станкостроение, беспилотие и т.п.);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авиационная промышленность;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приборостроение, в том числе оптико-электронное и медицинское;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радиоэлектроника, связь, фотоника, телекоммуникации;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робототехника, искусственный интеллект;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химия, нефтехимия, биотехнологии;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нефтегазовая промышленность;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энергетика;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строительство, производство строительных материалов;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транспорт, дорожное хозяйство;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пищевая, легкая, деревообрабатывающая промышленность;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сельскохозяйственная техника.</w:t>
      </w:r>
    </w:p>
    <w:p w:rsidR="003F340E" w:rsidRDefault="003F340E">
      <w:pPr>
        <w:pStyle w:val="ConsPlusNormal"/>
        <w:jc w:val="both"/>
      </w:pPr>
      <w:r>
        <w:t xml:space="preserve">(п. 1.6 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КМ РТ от 02.07.2025 N 481)</w:t>
      </w:r>
    </w:p>
    <w:p w:rsidR="003F340E" w:rsidRDefault="003F340E">
      <w:pPr>
        <w:pStyle w:val="ConsPlusNormal"/>
        <w:spacing w:before="220"/>
        <w:ind w:firstLine="540"/>
        <w:jc w:val="both"/>
      </w:pPr>
      <w:bookmarkStart w:id="2" w:name="P78"/>
      <w:bookmarkEnd w:id="2"/>
      <w:r>
        <w:t>1.7. Победители конкурса не могут участвовать в последующих конкурсах.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КМ РТ от 02.07.2025 N 481)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  <w:outlineLvl w:val="1"/>
      </w:pPr>
      <w:r>
        <w:t>II. Организаторы конкурса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r>
        <w:t>2.1. Конкурс проводится Министерством промышленности и торговли Республики Татарстан (далее - Министерство) при содействии Ассоциации предприятий и промышленников Республики Татарстан (регионального объединения работодателей) с привлечением республиканских органов исполнительной власти, иных организаций и экспертных сообществ.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2.2. Для подготовки и проведения конкурса Кабинетом Министров Республики Татарстан формируется организационный комитет.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2.3. Организационный комитет: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осуществляет оперативное руководство подготовкой и проведением конкурса;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утверждает состав конкурсной комиссии для оценки достижений конкурсантов;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определяет сроки проведения конкурса, порядок подачи документов на него;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решает организационные вопросы конкурса;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настоящим Положением.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lastRenderedPageBreak/>
        <w:t>2.4. Информация о старте конкурса, сроках и месте подачи документов на конкурс размещается на официальном сайте Министерства в информационно-телекоммуникационной сети "Интернет" в разделе "Конкурсы" в течение 10 дней после принятия организационным комитетом решения о старте конкурса, утвержденного протоколом заседания организационного комитета.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  <w:outlineLvl w:val="1"/>
      </w:pPr>
      <w:r>
        <w:t>III. Порядок подачи заявок на участие в конкурсе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r>
        <w:t>3.1. Кандидатуры для участия в конкурсе выдвигаются руководством предприятий, организаций высшего образования по месту основной работы (учебы) кандидата.</w:t>
      </w:r>
    </w:p>
    <w:p w:rsidR="003F340E" w:rsidRDefault="003F340E">
      <w:pPr>
        <w:pStyle w:val="ConsPlusNormal"/>
        <w:spacing w:before="220"/>
        <w:ind w:firstLine="540"/>
        <w:jc w:val="both"/>
      </w:pPr>
      <w:bookmarkStart w:id="3" w:name="P97"/>
      <w:bookmarkEnd w:id="3"/>
      <w:r>
        <w:t>3.2. Заявка на участие в конкурсе должна содержать следующие документы: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а) решение-рекомендация с указанием категории и номинации конкурса, в которых выдвигается кандидат, с учетом результатов инженерной деятельности за предшествующий календарный год, которое должно содержать полное наименование предприятия, организации высшего образования и структурного подразделения предприятия, организации высшего образования, в которой работает, обучается кандидат, а также полное наименование должности (для работника предприятия), полное наименование направления подготовки/специальности (для обучающихся). Решение-рекомендация оформляется на официальном бланке в соответствии с требованиями делопроизводства предприятия, организации высшего образования за подписью руководителя предприятия, организации высшего образования или иного должностного лица, имеющего право подписи и ознакомленного с содержанием документов, подаваемых кандидатом на конкурс;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б) справка об обучении в организации высшего образования (для обучающихся) или сведения о трудовой деятельности, оформленные в установленном законодательством порядке (для работников предприятий, организаций высшего образования);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в) копия основного документа, удостоверяющего личность гражданина Российской Федерации;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г) копия диплома о высшем образовании, а также копия диплома, подтверждающего наличие ученой степени (если имеется) (для аспирантов, работников предприятий, организаций высшего образования);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д) согласие на обработку персональных данных, форма которого утверждается организационным комитетом и размещается на официальном сайте Министерства в информационно-телекоммуникационной сети "Интернет";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 xml:space="preserve">е) описание достижений кандидата в сфере инженерной деятельности по итогам предшествующего календарного года по критериям оценки достижений конкурсантов, указанным в </w:t>
      </w:r>
      <w:hyperlink w:anchor="P126">
        <w:r>
          <w:rPr>
            <w:color w:val="0000FF"/>
          </w:rPr>
          <w:t>пункте 5.1</w:t>
        </w:r>
      </w:hyperlink>
      <w:r>
        <w:t xml:space="preserve"> настоящего Положения, включая описание инженерного проекта, с приложением (при наличии) перечня патентов на изобретение, полезную модель или промышленный образец, свидетельств о государственной регистрации программ для электронных вычислительных машин, научных трудов за предшествующий календарный год, опубликованных кандидатом в рецензируемых печатных и электронных научных и научно-технических изданиях. Информация представляется в виде справки, подписанной кандидатом (формат А4, шрифт Times New Roman 14 размера, интервал одинарный).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3.3. Заявка на участие в конкурсе подается на официальном сайте конкурса (сканированные копии документов) или направляется в печатном виде на бумажном носителе в отдел делопроизводства и контроля Министерства, расположенного по адресу: 420111, Республика Татарстан, г. Казань, ул. Островского, д. 4.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  <w:outlineLvl w:val="1"/>
      </w:pPr>
      <w:r>
        <w:t>IV. Конкурсная комиссия и порядок ее работы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r>
        <w:t xml:space="preserve">4.1. Оценка достижений конкурсантов осуществляется конкурсной комиссией (далее - комиссия), состав которой утверждается организационным комитетом. В состав комиссии входят ведущие ученые, </w:t>
      </w:r>
      <w:r>
        <w:lastRenderedPageBreak/>
        <w:t>инженеры, специалисты различных отраслей экономики.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4.2. Комиссия состоит из председателя, заместителя председателя, членов комиссии и секретаря.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4.3. Председатель комиссии осуществляет общее руководство деятельностью комиссии и проводит ее заседания.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4.4. В период временного отсутствия председателя комиссии его полномочия переходят к заместителю председателя комиссии.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4.5. Члены комиссии участвуют в ее заседаниях без права замены.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4.6. Заседание комиссии считается правомочным, если на нем присутствуют более половины ее членов.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4.7. В случае отсутствия члена комиссии на заседании он вправе представить председателю комиссии свое мнение по рассматриваемым вопросам в письменной форме.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4.8. Конкурсная комиссия отклоняет заявку на участие в конкурсе в случаях: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 xml:space="preserve">несоответствия конкурсанта требованиям, указанным в </w:t>
      </w:r>
      <w:hyperlink w:anchor="P58">
        <w:r>
          <w:rPr>
            <w:color w:val="0000FF"/>
          </w:rPr>
          <w:t>пунктах 1.5</w:t>
        </w:r>
      </w:hyperlink>
      <w:r>
        <w:t xml:space="preserve">, </w:t>
      </w:r>
      <w:hyperlink w:anchor="P78">
        <w:r>
          <w:rPr>
            <w:color w:val="0000FF"/>
          </w:rPr>
          <w:t>1.7</w:t>
        </w:r>
      </w:hyperlink>
      <w:r>
        <w:t xml:space="preserve"> настоящего Положения;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 xml:space="preserve">несоответствия заявки на участие в конкурсе </w:t>
      </w:r>
      <w:hyperlink w:anchor="P97">
        <w:r>
          <w:rPr>
            <w:color w:val="0000FF"/>
          </w:rPr>
          <w:t>пункту 3.2</w:t>
        </w:r>
      </w:hyperlink>
      <w:r>
        <w:t xml:space="preserve"> настоящего Положения.</w:t>
      </w:r>
    </w:p>
    <w:p w:rsidR="003F340E" w:rsidRDefault="003F340E">
      <w:pPr>
        <w:pStyle w:val="ConsPlusNormal"/>
        <w:spacing w:before="220"/>
        <w:ind w:firstLine="540"/>
        <w:jc w:val="both"/>
      </w:pPr>
      <w:bookmarkStart w:id="4" w:name="P119"/>
      <w:bookmarkEnd w:id="4"/>
      <w:r>
        <w:t xml:space="preserve">4.9. Комиссия оценивает достижения конкурсантов по 10-балльной шкале в соответствии с </w:t>
      </w:r>
      <w:hyperlink w:anchor="P126">
        <w:r>
          <w:rPr>
            <w:color w:val="0000FF"/>
          </w:rPr>
          <w:t>пунктом 5.1</w:t>
        </w:r>
      </w:hyperlink>
      <w:r>
        <w:t xml:space="preserve"> настоящего Положения как в ходе первого (заочного) тура, так и в рамках второго (очного) тура конкурса.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4.10. Решение комиссии принимается открытым голосованием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4.11. Решения, принимаемые на заседаниях комиссии, оформляются в виде протоколов, которые подписывает председательствующий на заседании.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4.12. В случае подачи членом комиссии заявки на участие в конкурсе он исключается из состава комиссии.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  <w:outlineLvl w:val="1"/>
      </w:pPr>
      <w:r>
        <w:t>V. Критерии оценки достижений конкурсантов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bookmarkStart w:id="5" w:name="P126"/>
      <w:bookmarkEnd w:id="5"/>
      <w:r>
        <w:t>5.1. Оценка достижений конкурсантов проводится комиссией по 10-балльной шкале по следующим критериям: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актуальность темы инженерного проекта, ее соответствие стратегическим приоритетам научно-технологического развития Республики Татарстан и Российской Федерации;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практическая значимость полученных результатов, их технико-экономический эффект;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самостоятельность технического мышления, степень участия в разработке, освоении новых материалов, машин, приборов, технологий; наличие запатентованного образца или технологии;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владение современными методами проектирования, в том числе цифровым на основе моделирования;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умение осуществлять поиск, анализ научно-технической информации и ее использование в профессиональной деятельности;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lastRenderedPageBreak/>
        <w:t>наличие в инженерном проекте соответствия требованиям экологической, промышленной безопасности, системы менеджмента качества, принципам "бережливого производства";</w:t>
      </w:r>
    </w:p>
    <w:p w:rsidR="003F340E" w:rsidRDefault="003F340E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КМ РТ от 04.07.2024 N 511)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умение выражать свои суждения по техническим вопросам, демонстрировать знания о современных достижениях науки и техники;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участие в различных формах непрерывного профессионального образования.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  <w:outlineLvl w:val="1"/>
      </w:pPr>
      <w:r>
        <w:t>VI. Порядок проведения конкурса и награждения</w:t>
      </w:r>
    </w:p>
    <w:p w:rsidR="003F340E" w:rsidRDefault="003F340E">
      <w:pPr>
        <w:pStyle w:val="ConsPlusTitle"/>
        <w:jc w:val="center"/>
      </w:pPr>
      <w:r>
        <w:t>победителей конкурса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ind w:firstLine="540"/>
        <w:jc w:val="both"/>
      </w:pPr>
      <w:r>
        <w:t>6.1. Конкурс проводится в два тура по 12 номинациям в каждой из трех категорий.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6.2. В ходе первого (заочного) тура комиссией проводится оценка достижений конкурсантов на основе документов, представленных в заявке на участие в конкурсе.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 xml:space="preserve">6.3. Оценка достижений конкурсантов осуществляется в соответствии с </w:t>
      </w:r>
      <w:hyperlink w:anchor="P119">
        <w:r>
          <w:rPr>
            <w:color w:val="0000FF"/>
          </w:rPr>
          <w:t>пунктом 4.9</w:t>
        </w:r>
      </w:hyperlink>
      <w:r>
        <w:t xml:space="preserve"> настоящего Положения.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6.4. По итогам первого (заочного) тура комиссия определяет не более пяти конкурсантов по каждой из 12 номинаций в каждой из трех категорий, набравших наибольшую сумму баллов и допускаемых к участию во втором (очном) туре.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6.5. Конкурсанты, приглашенные к участию во втором (очном) туре в форме семинара, представляют свои достижения в сфере инженерной деятельности по итогам предшествующего календарного года.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6.6. Победители конкурса определяются комиссией по итогам второго (очного) тура по каждой из 12 номинаций в каждой из трех категорий по наибольшей сумме баллов.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6.7. Победители конкурса награждаются в рамках торжественной церемонии с участием руководства Республики Татарстан.</w:t>
      </w:r>
    </w:p>
    <w:p w:rsidR="003F340E" w:rsidRDefault="003F340E">
      <w:pPr>
        <w:pStyle w:val="ConsPlusNormal"/>
        <w:spacing w:before="220"/>
        <w:ind w:firstLine="540"/>
        <w:jc w:val="both"/>
      </w:pPr>
      <w:r>
        <w:t>6.8. Итоги конкурса размещаются на официальном сайте Министерства в информационно-телекоммуникационной сети "Интернет" в разделе "Конкурсы" не позднее 15 дней после определения комиссией победителей конкурса.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right"/>
        <w:outlineLvl w:val="0"/>
      </w:pPr>
      <w:r>
        <w:t>Утвержден</w:t>
      </w:r>
    </w:p>
    <w:p w:rsidR="003F340E" w:rsidRDefault="003F340E">
      <w:pPr>
        <w:pStyle w:val="ConsPlusNormal"/>
        <w:jc w:val="right"/>
      </w:pPr>
      <w:r>
        <w:t>постановлением</w:t>
      </w:r>
    </w:p>
    <w:p w:rsidR="003F340E" w:rsidRDefault="003F340E">
      <w:pPr>
        <w:pStyle w:val="ConsPlusNormal"/>
        <w:jc w:val="right"/>
      </w:pPr>
      <w:r>
        <w:t>Кабинета Министров</w:t>
      </w:r>
    </w:p>
    <w:p w:rsidR="003F340E" w:rsidRDefault="003F340E">
      <w:pPr>
        <w:pStyle w:val="ConsPlusNormal"/>
        <w:jc w:val="right"/>
      </w:pPr>
      <w:r>
        <w:t>Республики Татарстан</w:t>
      </w:r>
    </w:p>
    <w:p w:rsidR="003F340E" w:rsidRDefault="003F340E">
      <w:pPr>
        <w:pStyle w:val="ConsPlusNormal"/>
        <w:jc w:val="right"/>
      </w:pPr>
      <w:r>
        <w:t>от 22 апреля 2019 г. N 325</w:t>
      </w: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Title"/>
        <w:jc w:val="center"/>
      </w:pPr>
      <w:bookmarkStart w:id="6" w:name="P160"/>
      <w:bookmarkEnd w:id="6"/>
      <w:r>
        <w:t>СОСТАВ</w:t>
      </w:r>
    </w:p>
    <w:p w:rsidR="003F340E" w:rsidRDefault="003F340E">
      <w:pPr>
        <w:pStyle w:val="ConsPlusTitle"/>
        <w:jc w:val="center"/>
      </w:pPr>
      <w:r>
        <w:t>ОРГАНИЗАЦИОННОГО КОМИТЕТА ПО ПОДГОТОВКЕ И ПРОВЕДЕНИЮ</w:t>
      </w:r>
    </w:p>
    <w:p w:rsidR="003F340E" w:rsidRDefault="003F340E">
      <w:pPr>
        <w:pStyle w:val="ConsPlusTitle"/>
        <w:jc w:val="center"/>
      </w:pPr>
      <w:r>
        <w:t>РЕСПУБЛИКАНСКОГО КОНКУРСА "ИНЖЕНЕР ГОДА"</w:t>
      </w:r>
    </w:p>
    <w:p w:rsidR="003F340E" w:rsidRDefault="003F340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3F34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16.04.2021 </w:t>
            </w:r>
            <w:hyperlink r:id="rId28">
              <w:r>
                <w:rPr>
                  <w:color w:val="0000FF"/>
                </w:rPr>
                <w:t>N 254</w:t>
              </w:r>
            </w:hyperlink>
            <w:r>
              <w:rPr>
                <w:color w:val="392C69"/>
              </w:rPr>
              <w:t xml:space="preserve">, от 13.08.2021 </w:t>
            </w:r>
            <w:hyperlink r:id="rId29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>,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26.07.2022 </w:t>
            </w:r>
            <w:hyperlink r:id="rId30">
              <w:r>
                <w:rPr>
                  <w:color w:val="0000FF"/>
                </w:rPr>
                <w:t>N 719</w:t>
              </w:r>
            </w:hyperlink>
            <w:r>
              <w:rPr>
                <w:color w:val="392C69"/>
              </w:rPr>
              <w:t xml:space="preserve">, от 20.04.2023 </w:t>
            </w:r>
            <w:hyperlink r:id="rId31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05.10.2023 </w:t>
            </w:r>
            <w:hyperlink r:id="rId32">
              <w:r>
                <w:rPr>
                  <w:color w:val="0000FF"/>
                </w:rPr>
                <w:t>N 1235</w:t>
              </w:r>
            </w:hyperlink>
            <w:r>
              <w:rPr>
                <w:color w:val="392C69"/>
              </w:rPr>
              <w:t>,</w:t>
            </w:r>
          </w:p>
          <w:p w:rsidR="003F340E" w:rsidRDefault="003F340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33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02.07.2025 </w:t>
            </w:r>
            <w:hyperlink r:id="rId34">
              <w:r>
                <w:rPr>
                  <w:color w:val="0000FF"/>
                </w:rPr>
                <w:t>N 481</w:t>
              </w:r>
            </w:hyperlink>
            <w:r>
              <w:rPr>
                <w:color w:val="392C69"/>
              </w:rPr>
              <w:t xml:space="preserve">, от 23.01.2026 </w:t>
            </w:r>
            <w:hyperlink r:id="rId3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F340E" w:rsidRDefault="003F340E">
            <w:pPr>
              <w:pStyle w:val="ConsPlusNormal"/>
            </w:pPr>
          </w:p>
        </w:tc>
      </w:tr>
    </w:tbl>
    <w:p w:rsidR="003F340E" w:rsidRDefault="003F34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746"/>
      </w:tblGrid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Коробченко Олег Владимирович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заместитель Премьер-министра Республики Татарстан - министр промышленности и торговли Республики Татарстан, председатель организационного комитета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Карпов Родион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первый заместитель министра промышленности и торговли Республики Татарстан, заместитель председателя организационного комитета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Пахомов Алексей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генеральный директор Ассоциации предприятий и промышленников Республики Татарстан (регионального объединения работодателей), заместитель председателя организационного комитета (по согласованию)</w:t>
            </w:r>
          </w:p>
        </w:tc>
      </w:tr>
      <w:tr w:rsidR="003F340E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Члены организационного комитета: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Абдуллазянов Эдвард Юнусович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энергетический университет" (по согласованию)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Айзатуллин Марат Мансурович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министр строительства, архитектуры и жилищно-коммунального хозяйства Республики Татарстан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Зяббаров Марат Азатович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Абашев Альмир Рашидович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министр здравоохранения Республики Татарстан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Низамов Рашит Курбангалиевич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государственный архитектурно-строительный университет" (по согласованию)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Кадыров Азат Рифгатович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министр по делам молодежи Республики Татарстан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Музипов Рамис Гаптраисович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первый заместитель министра образования и науки Республики Татарстан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Салимгараев Айдар Саитгараевич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руководитель Республиканского агентства по печати и массовым коммуникациям "Татмедиа"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Сафин Ленар Ринатович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ректор федерального государственного автономного образовательного учреждения высшего образования "Казанский (Приволжский) федеральный университет" (по согласованию)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Ханифов Фарит Мударисович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министр транспорта и дорожного хозяйства Республики Татарстан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Казаков Юрий Михайлович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национальный исследовательский технологический университет" (по согласованию)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Усманов Рустем Ринатович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генеральный директор общества с ограниченной ответственностью "Газпром трансгаз Казань" (по согласованию)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lastRenderedPageBreak/>
              <w:t>Яруллин Рафинат Саматович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генеральный директор акционерного общества "Татнефтехиминвест-холдинг" (по согласованию)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Нуриев Ильшат Габделфартович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врио ректора федерального государственного бюджетного образовательного учреждения высшего образования "Казанский государственный аграрный университет" (по согласованию)</w:t>
            </w:r>
          </w:p>
        </w:tc>
      </w:tr>
      <w:tr w:rsidR="003F340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</w:pPr>
            <w:r>
              <w:t>Охоткин Кирилл Германович</w:t>
            </w:r>
          </w:p>
        </w:tc>
        <w:tc>
          <w:tcPr>
            <w:tcW w:w="6746" w:type="dxa"/>
            <w:tcBorders>
              <w:top w:val="nil"/>
              <w:left w:val="nil"/>
              <w:bottom w:val="nil"/>
              <w:right w:val="nil"/>
            </w:tcBorders>
          </w:tcPr>
          <w:p w:rsidR="003F340E" w:rsidRDefault="003F340E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"Казанский национальный исследовательский технический университет им. А.Н.Туполева - КАИ" (по согласованию)</w:t>
            </w:r>
          </w:p>
        </w:tc>
      </w:tr>
    </w:tbl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jc w:val="both"/>
      </w:pPr>
    </w:p>
    <w:p w:rsidR="003F340E" w:rsidRDefault="003F340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7372" w:rsidRDefault="00C87372">
      <w:bookmarkStart w:id="7" w:name="_GoBack"/>
      <w:bookmarkEnd w:id="7"/>
    </w:p>
    <w:sectPr w:rsidR="00C87372" w:rsidSect="00BA28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0E"/>
    <w:rsid w:val="002E5E4A"/>
    <w:rsid w:val="003F340E"/>
    <w:rsid w:val="00C8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99457-7F96-45D7-929F-FB23ECD3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34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34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95393&amp;dst=100005" TargetMode="External"/><Relationship Id="rId18" Type="http://schemas.openxmlformats.org/officeDocument/2006/relationships/hyperlink" Target="https://login.consultant.ru/link/?req=doc&amp;base=RLAW363&amp;n=191584&amp;dst=100006" TargetMode="External"/><Relationship Id="rId26" Type="http://schemas.openxmlformats.org/officeDocument/2006/relationships/hyperlink" Target="https://login.consultant.ru/link/?req=doc&amp;base=RLAW363&amp;n=184464&amp;dst=100016" TargetMode="External"/><Relationship Id="rId21" Type="http://schemas.openxmlformats.org/officeDocument/2006/relationships/hyperlink" Target="https://login.consultant.ru/link/?req=doc&amp;base=RLAW363&amp;n=184464&amp;dst=100012" TargetMode="External"/><Relationship Id="rId34" Type="http://schemas.openxmlformats.org/officeDocument/2006/relationships/hyperlink" Target="https://login.consultant.ru/link/?req=doc&amp;base=RLAW363&amp;n=191584&amp;dst=100022" TargetMode="External"/><Relationship Id="rId7" Type="http://schemas.openxmlformats.org/officeDocument/2006/relationships/hyperlink" Target="https://login.consultant.ru/link/?req=doc&amp;base=RLAW363&amp;n=158989&amp;dst=100005" TargetMode="External"/><Relationship Id="rId12" Type="http://schemas.openxmlformats.org/officeDocument/2006/relationships/hyperlink" Target="https://login.consultant.ru/link/?req=doc&amp;base=RLAW363&amp;n=191584&amp;dst=100005" TargetMode="External"/><Relationship Id="rId17" Type="http://schemas.openxmlformats.org/officeDocument/2006/relationships/hyperlink" Target="https://login.consultant.ru/link/?req=doc&amp;base=RLAW363&amp;n=184464&amp;dst=100008" TargetMode="External"/><Relationship Id="rId25" Type="http://schemas.openxmlformats.org/officeDocument/2006/relationships/hyperlink" Target="https://login.consultant.ru/link/?req=doc&amp;base=RLAW363&amp;n=184464&amp;dst=100014" TargetMode="External"/><Relationship Id="rId33" Type="http://schemas.openxmlformats.org/officeDocument/2006/relationships/hyperlink" Target="https://login.consultant.ru/link/?req=doc&amp;base=RLAW363&amp;n=184464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78024&amp;dst=100006" TargetMode="External"/><Relationship Id="rId20" Type="http://schemas.openxmlformats.org/officeDocument/2006/relationships/hyperlink" Target="https://login.consultant.ru/link/?req=doc&amp;base=RLAW363&amp;n=184464&amp;dst=100011" TargetMode="External"/><Relationship Id="rId29" Type="http://schemas.openxmlformats.org/officeDocument/2006/relationships/hyperlink" Target="https://login.consultant.ru/link/?req=doc&amp;base=RLAW363&amp;n=158989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55838&amp;dst=100005" TargetMode="External"/><Relationship Id="rId11" Type="http://schemas.openxmlformats.org/officeDocument/2006/relationships/hyperlink" Target="https://login.consultant.ru/link/?req=doc&amp;base=RLAW363&amp;n=184464&amp;dst=100005" TargetMode="External"/><Relationship Id="rId24" Type="http://schemas.openxmlformats.org/officeDocument/2006/relationships/hyperlink" Target="https://login.consultant.ru/link/?req=doc&amp;base=RLAW363&amp;n=184464&amp;dst=100013" TargetMode="External"/><Relationship Id="rId32" Type="http://schemas.openxmlformats.org/officeDocument/2006/relationships/hyperlink" Target="https://login.consultant.ru/link/?req=doc&amp;base=RLAW363&amp;n=178024&amp;dst=100007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363&amp;n=141889&amp;dst=100005" TargetMode="External"/><Relationship Id="rId15" Type="http://schemas.openxmlformats.org/officeDocument/2006/relationships/hyperlink" Target="https://login.consultant.ru/link/?req=doc&amp;base=RLAW363&amp;n=184464&amp;dst=100007" TargetMode="External"/><Relationship Id="rId23" Type="http://schemas.openxmlformats.org/officeDocument/2006/relationships/hyperlink" Target="https://login.consultant.ru/link/?req=doc&amp;base=RLAW363&amp;n=191584&amp;dst=100021" TargetMode="External"/><Relationship Id="rId28" Type="http://schemas.openxmlformats.org/officeDocument/2006/relationships/hyperlink" Target="https://login.consultant.ru/link/?req=doc&amp;base=RLAW363&amp;n=155838&amp;dst=10000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3&amp;n=178024&amp;dst=100005" TargetMode="External"/><Relationship Id="rId19" Type="http://schemas.openxmlformats.org/officeDocument/2006/relationships/hyperlink" Target="https://login.consultant.ru/link/?req=doc&amp;base=RLAW363&amp;n=184464&amp;dst=100009" TargetMode="External"/><Relationship Id="rId31" Type="http://schemas.openxmlformats.org/officeDocument/2006/relationships/hyperlink" Target="https://login.consultant.ru/link/?req=doc&amp;base=RLAW363&amp;n=174106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63&amp;n=174106&amp;dst=100005" TargetMode="External"/><Relationship Id="rId14" Type="http://schemas.openxmlformats.org/officeDocument/2006/relationships/hyperlink" Target="https://login.consultant.ru/link/?req=doc&amp;base=RLAW363&amp;n=184464&amp;dst=100006" TargetMode="External"/><Relationship Id="rId22" Type="http://schemas.openxmlformats.org/officeDocument/2006/relationships/hyperlink" Target="https://login.consultant.ru/link/?req=doc&amp;base=RLAW363&amp;n=191584&amp;dst=100007" TargetMode="External"/><Relationship Id="rId27" Type="http://schemas.openxmlformats.org/officeDocument/2006/relationships/hyperlink" Target="https://login.consultant.ru/link/?req=doc&amp;base=RLAW363&amp;n=184464&amp;dst=100017" TargetMode="External"/><Relationship Id="rId30" Type="http://schemas.openxmlformats.org/officeDocument/2006/relationships/hyperlink" Target="https://login.consultant.ru/link/?req=doc&amp;base=RLAW363&amp;n=166876&amp;dst=100005" TargetMode="External"/><Relationship Id="rId35" Type="http://schemas.openxmlformats.org/officeDocument/2006/relationships/hyperlink" Target="https://login.consultant.ru/link/?req=doc&amp;base=RLAW363&amp;n=195393&amp;dst=100005" TargetMode="External"/><Relationship Id="rId8" Type="http://schemas.openxmlformats.org/officeDocument/2006/relationships/hyperlink" Target="https://login.consultant.ru/link/?req=doc&amp;base=RLAW363&amp;n=166876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2990</Words>
  <Characters>17049</Characters>
  <Application>Microsoft Office Word</Application>
  <DocSecurity>0</DocSecurity>
  <Lines>142</Lines>
  <Paragraphs>39</Paragraphs>
  <ScaleCrop>false</ScaleCrop>
  <Company/>
  <LinksUpToDate>false</LinksUpToDate>
  <CharactersWithSpaces>20000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Регина Рафиковна</dc:creator>
  <cp:keywords/>
  <dc:description/>
  <cp:lastModifiedBy>Ахметова Регина Рафиковна</cp:lastModifiedBy>
  <cp:revision>1</cp:revision>
  <dcterms:created xsi:type="dcterms:W3CDTF">2026-05-08T08:58:00Z</dcterms:created>
  <dcterms:modified xsi:type="dcterms:W3CDTF">2026-05-08T08:59:00Z</dcterms:modified>
</cp:coreProperties>
</file>